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118BF" w:rsidRDefault="0025106C" w:rsidP="00F37D7B">
      <w:pPr>
        <w:pStyle w:val="af3"/>
      </w:pPr>
      <w:r w:rsidRPr="001118BF">
        <w:rPr>
          <w:rFonts w:hint="eastAsia"/>
        </w:rPr>
        <w:t>糾正案文</w:t>
      </w:r>
    </w:p>
    <w:p w:rsidR="00E25849" w:rsidRPr="001118BF" w:rsidRDefault="0025106C" w:rsidP="00F231DC">
      <w:pPr>
        <w:pStyle w:val="1"/>
      </w:pPr>
      <w:r w:rsidRPr="001118BF">
        <w:rPr>
          <w:rFonts w:hint="eastAsia"/>
        </w:rPr>
        <w:t>被糾正機關：</w:t>
      </w:r>
      <w:r w:rsidR="008450E9" w:rsidRPr="001118BF">
        <w:rPr>
          <w:rFonts w:hint="eastAsia"/>
        </w:rPr>
        <w:t>衛福部</w:t>
      </w:r>
      <w:r w:rsidRPr="001118BF">
        <w:rPr>
          <w:rFonts w:hint="eastAsia"/>
        </w:rPr>
        <w:t>。</w:t>
      </w:r>
    </w:p>
    <w:p w:rsidR="00E25849" w:rsidRPr="001118BF" w:rsidRDefault="0025106C" w:rsidP="00DE42B9">
      <w:pPr>
        <w:pStyle w:val="1"/>
      </w:pPr>
      <w:r w:rsidRPr="001118BF">
        <w:rPr>
          <w:rFonts w:hint="eastAsia"/>
        </w:rPr>
        <w:t>案　　　由：</w:t>
      </w:r>
      <w:r w:rsidR="005715D4" w:rsidRPr="001118BF">
        <w:rPr>
          <w:rFonts w:hint="eastAsia"/>
        </w:rPr>
        <w:t>衛福部對於有身心障礙者個人照顧服務辦法第42條需求服務之身心障礙者</w:t>
      </w:r>
      <w:r w:rsidR="00BE6D82" w:rsidRPr="001118BF">
        <w:rPr>
          <w:rFonts w:hint="eastAsia"/>
        </w:rPr>
        <w:t>，未將相關基本資料</w:t>
      </w:r>
      <w:r w:rsidR="00A07D99" w:rsidRPr="001118BF">
        <w:rPr>
          <w:rFonts w:hint="eastAsia"/>
        </w:rPr>
        <w:t>橫向</w:t>
      </w:r>
      <w:r w:rsidR="00BE6D82" w:rsidRPr="001118BF">
        <w:rPr>
          <w:rFonts w:hint="eastAsia"/>
        </w:rPr>
        <w:t>介接連結提供各地方政府掌握</w:t>
      </w:r>
      <w:r w:rsidR="00A07D99" w:rsidRPr="001118BF">
        <w:rPr>
          <w:rFonts w:hint="eastAsia"/>
        </w:rPr>
        <w:t>，</w:t>
      </w:r>
      <w:r w:rsidR="00BE6D82" w:rsidRPr="001118BF">
        <w:rPr>
          <w:rFonts w:hint="eastAsia"/>
        </w:rPr>
        <w:t>並督</w:t>
      </w:r>
      <w:r w:rsidR="00A07D99" w:rsidRPr="001118BF">
        <w:rPr>
          <w:rFonts w:hint="eastAsia"/>
        </w:rPr>
        <w:t>促各地方政府之</w:t>
      </w:r>
      <w:r w:rsidR="00BE6D82" w:rsidRPr="001118BF">
        <w:rPr>
          <w:rFonts w:hint="eastAsia"/>
        </w:rPr>
        <w:t>社政、衛政、教育等</w:t>
      </w:r>
      <w:r w:rsidR="001762EA" w:rsidRPr="001118BF">
        <w:rPr>
          <w:rFonts w:hint="eastAsia"/>
        </w:rPr>
        <w:t>單位</w:t>
      </w:r>
      <w:r w:rsidR="00A07D99" w:rsidRPr="001118BF">
        <w:rPr>
          <w:rFonts w:hint="eastAsia"/>
        </w:rPr>
        <w:t>提供</w:t>
      </w:r>
      <w:r w:rsidR="001762EA" w:rsidRPr="001118BF">
        <w:rPr>
          <w:rFonts w:hint="eastAsia"/>
        </w:rPr>
        <w:t>之</w:t>
      </w:r>
      <w:r w:rsidR="00A07D99" w:rsidRPr="001118BF">
        <w:rPr>
          <w:rFonts w:hint="eastAsia"/>
        </w:rPr>
        <w:t>需求服務</w:t>
      </w:r>
      <w:r w:rsidR="001762EA" w:rsidRPr="001118BF">
        <w:rPr>
          <w:rFonts w:hint="eastAsia"/>
        </w:rPr>
        <w:t>應到位</w:t>
      </w:r>
      <w:r w:rsidR="00A07D99" w:rsidRPr="001118BF">
        <w:rPr>
          <w:rFonts w:hint="eastAsia"/>
        </w:rPr>
        <w:t>；</w:t>
      </w:r>
      <w:r w:rsidR="005715D4" w:rsidRPr="001118BF">
        <w:rPr>
          <w:rFonts w:hint="eastAsia"/>
        </w:rPr>
        <w:t>復</w:t>
      </w:r>
      <w:r w:rsidR="00A07D99" w:rsidRPr="001118BF">
        <w:rPr>
          <w:rFonts w:hint="eastAsia"/>
        </w:rPr>
        <w:t>未有身心障礙者專屬教材、教具或課程等相關設計；</w:t>
      </w:r>
      <w:r w:rsidR="001762EA" w:rsidRPr="001118BF">
        <w:rPr>
          <w:rFonts w:hint="eastAsia"/>
        </w:rPr>
        <w:t>又疏於監督</w:t>
      </w:r>
      <w:r w:rsidR="00A07D99" w:rsidRPr="001118BF">
        <w:rPr>
          <w:rFonts w:hint="eastAsia"/>
        </w:rPr>
        <w:t>部分</w:t>
      </w:r>
      <w:r w:rsidR="00BE6D82" w:rsidRPr="001118BF">
        <w:rPr>
          <w:rFonts w:hint="eastAsia"/>
        </w:rPr>
        <w:t>地方政府落實該辦法第42條各款應</w:t>
      </w:r>
      <w:r w:rsidR="00A07D99" w:rsidRPr="001118BF">
        <w:rPr>
          <w:rFonts w:hint="eastAsia"/>
        </w:rPr>
        <w:t>提供身心障礙者實踐</w:t>
      </w:r>
      <w:r w:rsidR="00BE6D82" w:rsidRPr="001118BF">
        <w:rPr>
          <w:rFonts w:hint="eastAsia"/>
        </w:rPr>
        <w:t>親職、婚前、婚姻、生育、</w:t>
      </w:r>
      <w:r w:rsidR="00A07D99" w:rsidRPr="001118BF">
        <w:rPr>
          <w:rFonts w:hint="eastAsia"/>
        </w:rPr>
        <w:t>育兒等不同</w:t>
      </w:r>
      <w:r w:rsidR="00BE6D82" w:rsidRPr="001118BF">
        <w:rPr>
          <w:rFonts w:hint="eastAsia"/>
        </w:rPr>
        <w:t>權利</w:t>
      </w:r>
      <w:r w:rsidR="00A07D99" w:rsidRPr="001118BF">
        <w:rPr>
          <w:rFonts w:hint="eastAsia"/>
        </w:rPr>
        <w:t>之服務，無法提供</w:t>
      </w:r>
      <w:r w:rsidR="001762EA" w:rsidRPr="001118BF">
        <w:rPr>
          <w:rFonts w:hint="eastAsia"/>
        </w:rPr>
        <w:t>身心障礙者</w:t>
      </w:r>
      <w:r w:rsidR="00A07D99" w:rsidRPr="001118BF">
        <w:rPr>
          <w:rFonts w:hint="eastAsia"/>
        </w:rPr>
        <w:t>連貫性之</w:t>
      </w:r>
      <w:r w:rsidR="000159B6" w:rsidRPr="001118BF">
        <w:rPr>
          <w:rFonts w:hint="eastAsia"/>
        </w:rPr>
        <w:t>支持</w:t>
      </w:r>
      <w:r w:rsidR="00A07D99" w:rsidRPr="001118BF">
        <w:rPr>
          <w:rFonts w:hint="eastAsia"/>
        </w:rPr>
        <w:t>服務，</w:t>
      </w:r>
      <w:r w:rsidR="001762EA" w:rsidRPr="001118BF">
        <w:rPr>
          <w:rFonts w:hint="eastAsia"/>
        </w:rPr>
        <w:t>相關</w:t>
      </w:r>
      <w:r w:rsidR="003232B4" w:rsidRPr="001118BF">
        <w:rPr>
          <w:rFonts w:hint="eastAsia"/>
        </w:rPr>
        <w:t>支持</w:t>
      </w:r>
      <w:r w:rsidR="001762EA" w:rsidRPr="001118BF">
        <w:rPr>
          <w:rFonts w:hint="eastAsia"/>
        </w:rPr>
        <w:t>系統失靈，</w:t>
      </w:r>
      <w:r w:rsidRPr="001118BF">
        <w:rPr>
          <w:rFonts w:hint="eastAsia"/>
        </w:rPr>
        <w:t>核有違失</w:t>
      </w:r>
      <w:r w:rsidR="008B4841" w:rsidRPr="001118BF">
        <w:rPr>
          <w:rFonts w:hAnsi="標楷體" w:hint="eastAsia"/>
        </w:rPr>
        <w:t>，</w:t>
      </w:r>
      <w:r w:rsidR="008B4841" w:rsidRPr="001118BF">
        <w:rPr>
          <w:rFonts w:hint="eastAsia"/>
        </w:rPr>
        <w:t>爰依法提案糾正</w:t>
      </w:r>
      <w:r w:rsidRPr="001118BF">
        <w:rPr>
          <w:rFonts w:hint="eastAsia"/>
        </w:rPr>
        <w:t>。</w:t>
      </w:r>
    </w:p>
    <w:p w:rsidR="00E25849" w:rsidRPr="001118B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118B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1118BF" w:rsidRDefault="00F66377" w:rsidP="00F66377">
      <w:pPr>
        <w:pStyle w:val="11"/>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118BF">
        <w:rPr>
          <w:rFonts w:hint="eastAsia"/>
        </w:rPr>
        <w:t>身心障礙者權益保障法第50條明文規範，應根據身心障礙者的需求，提供婚姻及生育輔導的支持，惟身心障礙者個人照顧服務辦法</w:t>
      </w:r>
      <w:r w:rsidR="005E01D5">
        <w:rPr>
          <w:rFonts w:hint="eastAsia"/>
        </w:rPr>
        <w:t>(以</w:t>
      </w:r>
      <w:r w:rsidR="005E01D5">
        <w:t>下稱</w:t>
      </w:r>
      <w:r w:rsidR="005E01D5" w:rsidRPr="001118BF">
        <w:rPr>
          <w:rFonts w:hint="eastAsia"/>
        </w:rPr>
        <w:t>身障個照辦法</w:t>
      </w:r>
      <w:r w:rsidR="005E01D5">
        <w:rPr>
          <w:rFonts w:hint="eastAsia"/>
        </w:rPr>
        <w:t>)</w:t>
      </w:r>
      <w:bookmarkStart w:id="41" w:name="_GoBack"/>
      <w:bookmarkEnd w:id="41"/>
      <w:r w:rsidRPr="001118BF">
        <w:rPr>
          <w:rFonts w:hint="eastAsia"/>
        </w:rPr>
        <w:t>第42條各款的服務，非但部會分工未明，所提供的內容貧乏，生育保健的工作內容，更實質造成對障礙者的歧視，於101年身心障礙者權益保障法公布迄今，身心障礙者婚姻及生育輔導的各項服務付之闕如，</w:t>
      </w:r>
      <w:r w:rsidRPr="00475B28">
        <w:rPr>
          <w:rFonts w:hint="eastAsia"/>
        </w:rPr>
        <w:t>衛福部</w:t>
      </w:r>
      <w:r w:rsidRPr="001118BF">
        <w:rPr>
          <w:rFonts w:hint="eastAsia"/>
        </w:rPr>
        <w:t>漠視</w:t>
      </w:r>
      <w:r w:rsidRPr="001118BF">
        <w:t>身心障礙者權利公約 (CRPD)</w:t>
      </w:r>
      <w:r w:rsidRPr="001118BF">
        <w:rPr>
          <w:rFonts w:hint="eastAsia"/>
        </w:rPr>
        <w:t>規定的身心障礙者與一般人一樣擁有婚姻、家庭、父母身</w:t>
      </w:r>
      <w:r w:rsidR="008F205E">
        <w:rPr>
          <w:rFonts w:hint="eastAsia"/>
        </w:rPr>
        <w:t>分</w:t>
      </w:r>
      <w:r w:rsidRPr="001118BF">
        <w:rPr>
          <w:rFonts w:hint="eastAsia"/>
        </w:rPr>
        <w:t>的權利，核有嚴重疏失</w:t>
      </w:r>
      <w:r w:rsidR="00B83C6B" w:rsidRPr="001118BF">
        <w:rPr>
          <w:rFonts w:hAnsi="標楷體" w:hint="eastAsia"/>
          <w:spacing w:val="-6"/>
        </w:rPr>
        <w:t>：</w:t>
      </w:r>
    </w:p>
    <w:p w:rsidR="00FB5C3B" w:rsidRPr="001118BF" w:rsidRDefault="00F66377" w:rsidP="00FB5C3B">
      <w:pPr>
        <w:pStyle w:val="2"/>
        <w:numPr>
          <w:ilvl w:val="1"/>
          <w:numId w:val="1"/>
        </w:numPr>
        <w:rPr>
          <w:b w:val="0"/>
        </w:rPr>
      </w:pPr>
      <w:r w:rsidRPr="001118BF">
        <w:rPr>
          <w:rFonts w:hAnsi="標楷體" w:hint="eastAsia"/>
          <w:b w:val="0"/>
          <w:kern w:val="0"/>
        </w:rPr>
        <w:t>按聯合國身心障礙者權利公約第23條第1項規定：「</w:t>
      </w:r>
      <w:r w:rsidRPr="001118BF">
        <w:rPr>
          <w:b w:val="0"/>
          <w:kern w:val="0"/>
        </w:rPr>
        <w:t>締約國應採取有效</w:t>
      </w:r>
      <w:r w:rsidRPr="001118BF">
        <w:rPr>
          <w:rFonts w:hint="eastAsia"/>
          <w:b w:val="0"/>
          <w:kern w:val="0"/>
        </w:rPr>
        <w:t>及</w:t>
      </w:r>
      <w:r w:rsidRPr="001118BF">
        <w:rPr>
          <w:b w:val="0"/>
          <w:kern w:val="0"/>
        </w:rPr>
        <w:t>適當措施</w:t>
      </w:r>
      <w:r w:rsidRPr="001118BF">
        <w:rPr>
          <w:b w:val="0"/>
          <w:bCs w:val="0"/>
          <w:kern w:val="0"/>
        </w:rPr>
        <w:t>，在與其他人平等基礎上，</w:t>
      </w:r>
      <w:r w:rsidRPr="001118BF">
        <w:rPr>
          <w:rFonts w:hint="eastAsia"/>
          <w:b w:val="0"/>
          <w:bCs w:val="0"/>
          <w:kern w:val="0"/>
        </w:rPr>
        <w:t>於</w:t>
      </w:r>
      <w:r w:rsidRPr="001118BF">
        <w:rPr>
          <w:b w:val="0"/>
          <w:bCs w:val="0"/>
          <w:kern w:val="0"/>
        </w:rPr>
        <w:t>涉及婚姻、家庭、父母身分</w:t>
      </w:r>
      <w:r w:rsidRPr="001118BF">
        <w:rPr>
          <w:rFonts w:hint="eastAsia"/>
          <w:b w:val="0"/>
          <w:bCs w:val="0"/>
          <w:kern w:val="0"/>
        </w:rPr>
        <w:t>及家</w:t>
      </w:r>
      <w:r w:rsidRPr="001118BF">
        <w:rPr>
          <w:b w:val="0"/>
          <w:bCs w:val="0"/>
          <w:kern w:val="0"/>
        </w:rPr>
        <w:t>屬關係</w:t>
      </w:r>
      <w:r w:rsidRPr="001118BF">
        <w:rPr>
          <w:rFonts w:hint="eastAsia"/>
          <w:b w:val="0"/>
          <w:bCs w:val="0"/>
          <w:kern w:val="0"/>
        </w:rPr>
        <w:t>之所有</w:t>
      </w:r>
      <w:r w:rsidRPr="001118BF">
        <w:rPr>
          <w:b w:val="0"/>
          <w:bCs w:val="0"/>
          <w:kern w:val="0"/>
        </w:rPr>
        <w:t>事項中，消</w:t>
      </w:r>
      <w:r w:rsidRPr="001118BF">
        <w:rPr>
          <w:b w:val="0"/>
          <w:bCs w:val="0"/>
          <w:kern w:val="0"/>
        </w:rPr>
        <w:lastRenderedPageBreak/>
        <w:t>除對身心障礙者</w:t>
      </w:r>
      <w:r w:rsidRPr="001118BF">
        <w:rPr>
          <w:rFonts w:hint="eastAsia"/>
          <w:b w:val="0"/>
          <w:bCs w:val="0"/>
          <w:kern w:val="0"/>
        </w:rPr>
        <w:t>之</w:t>
      </w:r>
      <w:r w:rsidRPr="001118BF">
        <w:rPr>
          <w:b w:val="0"/>
          <w:bCs w:val="0"/>
          <w:kern w:val="0"/>
        </w:rPr>
        <w:t>歧視</w:t>
      </w:r>
      <w:r w:rsidRPr="001118BF">
        <w:rPr>
          <w:rFonts w:hAnsi="標楷體"/>
          <w:b w:val="0"/>
          <w:kern w:val="0"/>
        </w:rPr>
        <w:t>。</w:t>
      </w:r>
      <w:r w:rsidRPr="001118BF">
        <w:rPr>
          <w:rFonts w:hAnsi="標楷體" w:hint="eastAsia"/>
          <w:b w:val="0"/>
          <w:kern w:val="0"/>
        </w:rPr>
        <w:t>」我國為推動身心障礙者獲得所需之個人支持及照顧、有助於提升家庭照顧者能力等家居及家庭等服務，分別於身心障礙者權益保障法第50條、第51條表列相關服務內容，並於身心障礙者權益保障法第51條第2項，授權由中央主管機關衛福部及中央各目的事業主管機關於必要時訂定辦法管理，衛福部於101年7月9日發布</w:t>
      </w:r>
      <w:r w:rsidRPr="001118BF">
        <w:rPr>
          <w:b w:val="0"/>
        </w:rPr>
        <w:t>訂定</w:t>
      </w:r>
      <w:r w:rsidRPr="001118BF">
        <w:rPr>
          <w:rFonts w:hAnsi="標楷體" w:hint="eastAsia"/>
          <w:b w:val="0"/>
          <w:kern w:val="0"/>
        </w:rPr>
        <w:t>身障個照辦法。</w:t>
      </w:r>
    </w:p>
    <w:p w:rsidR="00F66377" w:rsidRPr="001118BF" w:rsidRDefault="00F66377" w:rsidP="00FB5C3B">
      <w:pPr>
        <w:pStyle w:val="2"/>
        <w:numPr>
          <w:ilvl w:val="1"/>
          <w:numId w:val="1"/>
        </w:numPr>
        <w:rPr>
          <w:b w:val="0"/>
        </w:rPr>
      </w:pPr>
      <w:r w:rsidRPr="001118BF">
        <w:rPr>
          <w:rFonts w:hAnsi="標楷體" w:hint="eastAsia"/>
          <w:kern w:val="0"/>
        </w:rPr>
        <w:t>查，衛福部及教育部對於身障個照辦法第42條第1款之主責單位看法不同，投入程度有異。衛福部及教育部之說明如下：</w:t>
      </w:r>
    </w:p>
    <w:p w:rsidR="00FB5C3B" w:rsidRPr="001118BF" w:rsidRDefault="00F66377" w:rsidP="00FB5C3B">
      <w:pPr>
        <w:pStyle w:val="3"/>
        <w:numPr>
          <w:ilvl w:val="2"/>
          <w:numId w:val="1"/>
        </w:numPr>
        <w:rPr>
          <w:b/>
        </w:rPr>
      </w:pPr>
      <w:r w:rsidRPr="001118BF">
        <w:rPr>
          <w:rFonts w:hAnsi="標楷體" w:hint="eastAsia"/>
          <w:kern w:val="0"/>
        </w:rPr>
        <w:t>衛福部：</w:t>
      </w:r>
      <w:r w:rsidRPr="001118BF">
        <w:rPr>
          <w:rFonts w:hint="eastAsia"/>
        </w:rPr>
        <w:t>衛福部認為</w:t>
      </w:r>
      <w:r w:rsidRPr="005E01D5">
        <w:rPr>
          <w:rFonts w:hint="eastAsia"/>
        </w:rPr>
        <w:t>身心障礙者權益保障法第</w:t>
      </w:r>
      <w:r w:rsidRPr="005E01D5">
        <w:t>50</w:t>
      </w:r>
      <w:r w:rsidRPr="005E01D5">
        <w:rPr>
          <w:rFonts w:hint="eastAsia"/>
        </w:rPr>
        <w:t>條規定，直轄市、縣</w:t>
      </w:r>
      <w:r w:rsidRPr="005E01D5">
        <w:t>(</w:t>
      </w:r>
      <w:r w:rsidRPr="005E01D5">
        <w:rPr>
          <w:rFonts w:hint="eastAsia"/>
        </w:rPr>
        <w:t>市</w:t>
      </w:r>
      <w:r w:rsidRPr="005E01D5">
        <w:t>)</w:t>
      </w:r>
      <w:r w:rsidRPr="005E01D5">
        <w:rPr>
          <w:rFonts w:hint="eastAsia"/>
        </w:rPr>
        <w:t>主管機關應依需求評估結果辦理婚姻及生育輔導；婚姻及生育輔導係由專業人員應用專業知能與技巧，提供身心障礙者兩性交往、性教育、婚姻諮商、生育保健及親職等諮商輔導及協助服務，主責單位為教育、衛政主管機關</w:t>
      </w:r>
      <w:r w:rsidRPr="005E01D5">
        <w:footnoteReference w:id="1"/>
      </w:r>
      <w:r w:rsidRPr="005E01D5">
        <w:rPr>
          <w:rFonts w:hint="eastAsia"/>
        </w:rPr>
        <w:t>。而身心障礙者權益保障法第</w:t>
      </w:r>
      <w:r w:rsidRPr="005E01D5">
        <w:t>50</w:t>
      </w:r>
      <w:r w:rsidRPr="005E01D5">
        <w:rPr>
          <w:rFonts w:hint="eastAsia"/>
        </w:rPr>
        <w:t>條於</w:t>
      </w:r>
      <w:r w:rsidRPr="005E01D5">
        <w:t>96</w:t>
      </w:r>
      <w:r w:rsidRPr="005E01D5">
        <w:rPr>
          <w:rFonts w:hint="eastAsia"/>
        </w:rPr>
        <w:t>年修正時立法說明，婚姻及生育輔導服務主責單位為教</w:t>
      </w:r>
      <w:r w:rsidRPr="001118BF">
        <w:rPr>
          <w:rFonts w:hAnsi="標楷體" w:cs="標楷體" w:hint="eastAsia"/>
          <w:kern w:val="0"/>
          <w:szCs w:val="32"/>
          <w:u w:val="single"/>
        </w:rPr>
        <w:t>育、衛政主管機關</w:t>
      </w:r>
      <w:r w:rsidRPr="001118BF">
        <w:rPr>
          <w:rFonts w:hAnsi="標楷體" w:cs="標楷體" w:hint="eastAsia"/>
          <w:kern w:val="0"/>
          <w:szCs w:val="32"/>
        </w:rPr>
        <w:t>。有關</w:t>
      </w:r>
      <w:r w:rsidRPr="001118BF">
        <w:rPr>
          <w:rFonts w:hint="eastAsia"/>
        </w:rPr>
        <w:t>身障個照辦法</w:t>
      </w:r>
      <w:r w:rsidRPr="001118BF">
        <w:rPr>
          <w:rFonts w:hAnsi="標楷體" w:cs="標楷體" w:hint="eastAsia"/>
          <w:kern w:val="0"/>
          <w:szCs w:val="32"/>
        </w:rPr>
        <w:t>第42條第1款涉及之服務內容，</w:t>
      </w:r>
      <w:r w:rsidRPr="001118BF">
        <w:rPr>
          <w:rFonts w:hint="eastAsia"/>
        </w:rPr>
        <w:t>到院詢問時認為第1款為教育及衛政主管機關，</w:t>
      </w:r>
      <w:r w:rsidRPr="001118BF">
        <w:rPr>
          <w:rFonts w:hAnsi="標楷體" w:cs="標楷體" w:hint="eastAsia"/>
          <w:kern w:val="0"/>
          <w:szCs w:val="32"/>
        </w:rPr>
        <w:t>在詢問會議之後，認為該條款有關兩性交往、性教育之權責單位為教育部、衛福部社家署、衛福部國民健康署，服務內容為性諮詢之權責單位歸屬於衛利部國民健康署</w:t>
      </w:r>
      <w:r w:rsidRPr="001118BF">
        <w:rPr>
          <w:rStyle w:val="afe"/>
          <w:rFonts w:hAnsi="標楷體" w:cs="標楷體"/>
          <w:kern w:val="0"/>
          <w:szCs w:val="32"/>
        </w:rPr>
        <w:footnoteReference w:id="2"/>
      </w:r>
      <w:r w:rsidRPr="001118BF">
        <w:rPr>
          <w:rFonts w:hAnsi="標楷體" w:cs="標楷體" w:hint="eastAsia"/>
          <w:kern w:val="0"/>
          <w:szCs w:val="32"/>
        </w:rPr>
        <w:t>。至於該辦法第42條第2款為教育主管機關、第3款及第4款為衛政</w:t>
      </w:r>
      <w:r w:rsidRPr="001118BF">
        <w:rPr>
          <w:rFonts w:hAnsi="標楷體" w:cs="標楷體" w:hint="eastAsia"/>
          <w:kern w:val="0"/>
          <w:szCs w:val="32"/>
        </w:rPr>
        <w:lastRenderedPageBreak/>
        <w:t>主管機關</w:t>
      </w:r>
      <w:r w:rsidRPr="001118BF">
        <w:rPr>
          <w:rStyle w:val="afe"/>
          <w:rFonts w:hAnsi="標楷體" w:cs="標楷體"/>
          <w:kern w:val="0"/>
          <w:szCs w:val="32"/>
        </w:rPr>
        <w:footnoteReference w:id="3"/>
      </w:r>
      <w:r w:rsidRPr="001118BF">
        <w:rPr>
          <w:rFonts w:hAnsi="標楷體" w:cs="標楷體" w:hint="eastAsia"/>
          <w:kern w:val="0"/>
          <w:szCs w:val="32"/>
        </w:rPr>
        <w:t>。</w:t>
      </w:r>
    </w:p>
    <w:p w:rsidR="00F66377" w:rsidRPr="001118BF" w:rsidRDefault="00F66377" w:rsidP="00FB5C3B">
      <w:pPr>
        <w:pStyle w:val="3"/>
        <w:numPr>
          <w:ilvl w:val="2"/>
          <w:numId w:val="1"/>
        </w:numPr>
        <w:rPr>
          <w:b/>
        </w:rPr>
      </w:pPr>
      <w:r w:rsidRPr="001118BF">
        <w:rPr>
          <w:rFonts w:hAnsi="標楷體" w:hint="eastAsia"/>
          <w:kern w:val="0"/>
        </w:rPr>
        <w:t>教育部：</w:t>
      </w:r>
    </w:p>
    <w:p w:rsidR="00FB5C3B" w:rsidRPr="005E01D5" w:rsidRDefault="00FB5C3B" w:rsidP="00F66377">
      <w:pPr>
        <w:pStyle w:val="4"/>
      </w:pPr>
      <w:r w:rsidRPr="005E01D5">
        <w:rPr>
          <w:rFonts w:hint="eastAsia"/>
          <w:bCs/>
        </w:rPr>
        <w:t>身障個照辦法係依據身心障礙者權益保障法第51條第2項授權訂定，該法第42條：「婚姻及生育輔導服務內容如下：一、兩性交往、性教育及性諮詢之</w:t>
      </w:r>
      <w:r w:rsidRPr="001118BF">
        <w:rPr>
          <w:rFonts w:hint="eastAsia"/>
        </w:rPr>
        <w:t>諮商輔導。二、親職、婚前與婚姻教育及諮詢輔導措施。三、提供生育諮詢、產前、產期、產後及嬰幼兒健康服務之必要協助。四、提供生育保健措施。」其中第2款所規定之「親職、婚前與婚姻教育」服務內容，依同法第</w:t>
      </w:r>
      <w:r w:rsidRPr="001118BF">
        <w:t>43</w:t>
      </w:r>
      <w:r w:rsidRPr="001118BF">
        <w:rPr>
          <w:rFonts w:hint="eastAsia"/>
        </w:rPr>
        <w:t>條第</w:t>
      </w:r>
      <w:r w:rsidRPr="001118BF">
        <w:t>1</w:t>
      </w:r>
      <w:r w:rsidRPr="001118BF">
        <w:rPr>
          <w:rFonts w:hint="eastAsia"/>
        </w:rPr>
        <w:t>項第</w:t>
      </w:r>
      <w:r w:rsidRPr="001118BF">
        <w:t>1</w:t>
      </w:r>
      <w:r w:rsidRPr="001118BF">
        <w:rPr>
          <w:rFonts w:hint="eastAsia"/>
        </w:rPr>
        <w:t>款規定得由家庭教育機構、團體提供；</w:t>
      </w:r>
      <w:r w:rsidRPr="005E01D5">
        <w:t>至該法第42條</w:t>
      </w:r>
      <w:r w:rsidRPr="005E01D5">
        <w:rPr>
          <w:rFonts w:hint="eastAsia"/>
        </w:rPr>
        <w:t>第1、第3及第4款則依同法第43條第1項第2款規定，由其他婚姻及生育輔導服務由醫事服務機構、社會福利團體或機構、婚姻及諮商團體或機構提供</w:t>
      </w:r>
      <w:r w:rsidRPr="001118BF">
        <w:rPr>
          <w:rFonts w:hint="eastAsia"/>
        </w:rPr>
        <w:t>。</w:t>
      </w:r>
    </w:p>
    <w:p w:rsidR="00FB5C3B" w:rsidRPr="001118BF" w:rsidRDefault="00FB5C3B" w:rsidP="00F66377">
      <w:pPr>
        <w:pStyle w:val="4"/>
        <w:rPr>
          <w:kern w:val="0"/>
        </w:rPr>
      </w:pPr>
      <w:r w:rsidRPr="001118BF">
        <w:rPr>
          <w:rFonts w:hint="eastAsia"/>
        </w:rPr>
        <w:t>教育部對於衛福部提出「身心障礙者權益保障法」第50條之立法理由，主責單位包含教育單位，教育部認為係因該法條第5款之婚姻及生育輔導內容包含身障個照辦法所定之婚姻諮商及親職輔導，非指該條所定各款之主責單位均包含教育單位，且於身障個照辦法第43條特予敘明，釐清單位分工。有關身障個照辦法第42條第1款「兩性交往、性教育及性諮詢之諮商輔導」應係指身心障礙者日常生活相關之社交技巧或知識，與教育部依據性別平等教育法辦理之學校內之性教育及性別平等教育不同，爰應屬衛福部之權責範疇，與教育部無涉。</w:t>
      </w:r>
    </w:p>
    <w:p w:rsidR="00FB5C3B" w:rsidRPr="001118BF" w:rsidRDefault="00FB5C3B" w:rsidP="00FB5C3B">
      <w:pPr>
        <w:pStyle w:val="3"/>
        <w:numPr>
          <w:ilvl w:val="2"/>
          <w:numId w:val="1"/>
        </w:numPr>
        <w:rPr>
          <w:rFonts w:hAnsi="標楷體"/>
          <w:kern w:val="0"/>
        </w:rPr>
      </w:pPr>
      <w:r w:rsidRPr="001118BF">
        <w:rPr>
          <w:rFonts w:hint="eastAsia"/>
        </w:rPr>
        <w:t>查，身障個照辦法之立法說明，該辦法係依據身心障礙者權益保障法第50條及同法</w:t>
      </w:r>
      <w:r w:rsidRPr="001118BF">
        <w:rPr>
          <w:rFonts w:hint="eastAsia"/>
        </w:rPr>
        <w:lastRenderedPageBreak/>
        <w:t>第51條第2項授權規定，提供身心障礙者獲取所需之個人支持及照顧等服務。該辦法第六章婚姻及生育輔導計有第42、43、44條規定身心障礙者個人照顧之服務，其中第42條訂定4種服務內容。然不論涉及身心障礙者權益保障法第50條或第51條之服務內容，均需先依據直轄市、縣（市）政府主管機關依據需求評估結果，之後，轉介後續服務。但目前地方政府均未落實執行第42條各款，衛福部社家署並未督促直轄市、縣（市）政府所屬社會局（處）於身心障礙者進行需求評估時，積極評估婚姻與生育輔導的需求；次因社會局（處）之需求評估結果，身心障礙者有婚姻及生育輔導之需求時，缺乏教育、衛政、社政主管機關提供的資源，且未追蹤服務資源建置情形，皆無法協助身心障礙者獲得相關適切的服務。</w:t>
      </w:r>
    </w:p>
    <w:p w:rsidR="00FB5C3B" w:rsidRPr="001118BF" w:rsidRDefault="00FB5C3B" w:rsidP="00FB5C3B">
      <w:pPr>
        <w:pStyle w:val="3"/>
        <w:numPr>
          <w:ilvl w:val="2"/>
          <w:numId w:val="1"/>
        </w:numPr>
        <w:rPr>
          <w:rFonts w:hAnsi="標楷體"/>
          <w:kern w:val="0"/>
        </w:rPr>
      </w:pPr>
      <w:r w:rsidRPr="001118BF">
        <w:rPr>
          <w:rFonts w:hint="eastAsia"/>
        </w:rPr>
        <w:t>次查，因中央部會分工不清楚，各地方政府根據身障個照辦法第42條第1款及第2款規定，應提供兩性交往、性教育及性諮詢、親職、婚前與婚姻教育等服務，但是並未針對18歲至45歲或是未就學之身心障礙者提供服務，106至107年間，地方政府提供的資料顯示均僅針對一般大眾辦理親職、婚前與婚姻教育等活動。有關該辦法第42條第3款之執行，地方政府未建置可以即時發現有需求的身心障礙母親之機制，均賴國民健康署之產檢或接生醫療院所提供身心障礙者相關資訊。目前地方政府辦理有關生育諮詢大部分均針對一般民眾，而衛福部身心障礙者孕產婦照護教材編制計畫，過往並未對身心智障礙者、聽障者、肢障及視障者編纂懷孕衛教教材，相關衛教服務之連貫性確有不足。至於地方政府執行身障個照辦法第42條第4款時，偏重補助智障及精神障礙者的節育措施。足徵，身障個照辦法第42條各款服務均未能</w:t>
      </w:r>
      <w:r w:rsidRPr="001118BF">
        <w:rPr>
          <w:rFonts w:hint="eastAsia"/>
        </w:rPr>
        <w:lastRenderedPageBreak/>
        <w:t>到位，以致於需求評估未落實，轉介服務資源不足，亦無反饋機制，使相關的規定形同具文。</w:t>
      </w:r>
    </w:p>
    <w:p w:rsidR="00286B1B" w:rsidRPr="001118BF" w:rsidRDefault="00E25849" w:rsidP="00C86866">
      <w:pPr>
        <w:pStyle w:val="11"/>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1118BF">
        <w:br w:type="page"/>
      </w:r>
      <w:bookmarkStart w:id="52" w:name="_Toc524902730"/>
      <w:bookmarkEnd w:id="42"/>
      <w:bookmarkEnd w:id="43"/>
      <w:bookmarkEnd w:id="44"/>
      <w:bookmarkEnd w:id="45"/>
      <w:bookmarkEnd w:id="46"/>
      <w:bookmarkEnd w:id="47"/>
      <w:bookmarkEnd w:id="48"/>
      <w:bookmarkEnd w:id="49"/>
      <w:bookmarkEnd w:id="50"/>
      <w:bookmarkEnd w:id="51"/>
      <w:r w:rsidR="000512D1" w:rsidRPr="001118BF">
        <w:rPr>
          <w:rFonts w:hint="eastAsia"/>
        </w:rPr>
        <w:lastRenderedPageBreak/>
        <w:t>綜上所述，</w:t>
      </w:r>
      <w:r w:rsidR="00473A3A" w:rsidRPr="001118BF">
        <w:rPr>
          <w:rFonts w:hint="eastAsia"/>
        </w:rPr>
        <w:t>目前</w:t>
      </w:r>
      <w:r w:rsidR="005F15E8" w:rsidRPr="001118BF">
        <w:rPr>
          <w:rFonts w:hint="eastAsia"/>
        </w:rPr>
        <w:t>提供身心障礙者有關婚前、</w:t>
      </w:r>
      <w:r w:rsidR="005F15E8" w:rsidRPr="001118BF">
        <w:rPr>
          <w:rFonts w:ascii="Times New Roman"/>
          <w:spacing w:val="-14"/>
          <w:szCs w:val="32"/>
        </w:rPr>
        <w:t>親職、</w:t>
      </w:r>
      <w:r w:rsidR="005F15E8" w:rsidRPr="001118BF">
        <w:rPr>
          <w:rFonts w:ascii="Times New Roman" w:hint="eastAsia"/>
          <w:spacing w:val="-14"/>
          <w:szCs w:val="32"/>
        </w:rPr>
        <w:t>婚姻、</w:t>
      </w:r>
      <w:r w:rsidR="005F15E8" w:rsidRPr="001118BF">
        <w:rPr>
          <w:rFonts w:ascii="Times New Roman"/>
          <w:spacing w:val="-14"/>
          <w:szCs w:val="32"/>
        </w:rPr>
        <w:t>生育諮詢、產前、產期、產後及嬰幼兒健康</w:t>
      </w:r>
      <w:r w:rsidR="005F15E8" w:rsidRPr="001118BF">
        <w:rPr>
          <w:rFonts w:ascii="Times New Roman" w:hint="eastAsia"/>
          <w:spacing w:val="-14"/>
          <w:szCs w:val="32"/>
        </w:rPr>
        <w:t>等</w:t>
      </w:r>
      <w:r w:rsidR="005F15E8" w:rsidRPr="001118BF">
        <w:rPr>
          <w:rFonts w:ascii="Times New Roman"/>
          <w:spacing w:val="-14"/>
          <w:szCs w:val="32"/>
        </w:rPr>
        <w:t>服務</w:t>
      </w:r>
      <w:r w:rsidR="005F15E8" w:rsidRPr="001118BF">
        <w:rPr>
          <w:rFonts w:ascii="Times New Roman" w:hint="eastAsia"/>
          <w:spacing w:val="-14"/>
          <w:szCs w:val="32"/>
        </w:rPr>
        <w:t>，甚多支持服務</w:t>
      </w:r>
      <w:r w:rsidR="00A35F31" w:rsidRPr="001118BF">
        <w:rPr>
          <w:rFonts w:ascii="Times New Roman" w:hint="eastAsia"/>
          <w:spacing w:val="-14"/>
          <w:szCs w:val="32"/>
        </w:rPr>
        <w:t>均</w:t>
      </w:r>
      <w:r w:rsidR="005F15E8" w:rsidRPr="001118BF">
        <w:rPr>
          <w:rFonts w:ascii="Times New Roman" w:hint="eastAsia"/>
          <w:spacing w:val="-14"/>
          <w:szCs w:val="32"/>
        </w:rPr>
        <w:t>未到位</w:t>
      </w:r>
      <w:r w:rsidR="000512D1" w:rsidRPr="001118BF">
        <w:rPr>
          <w:rFonts w:hAnsi="標楷體" w:hint="eastAsia"/>
        </w:rPr>
        <w:t>，</w:t>
      </w:r>
      <w:r w:rsidR="00473A3A" w:rsidRPr="001118BF">
        <w:rPr>
          <w:rFonts w:hAnsi="標楷體" w:hint="eastAsia"/>
        </w:rPr>
        <w:t>內容貧乏，</w:t>
      </w:r>
      <w:r w:rsidR="005F15E8" w:rsidRPr="001118BF">
        <w:rPr>
          <w:rFonts w:hAnsi="標楷體" w:hint="eastAsia"/>
        </w:rPr>
        <w:t>衛福部</w:t>
      </w:r>
      <w:r w:rsidR="000512D1" w:rsidRPr="001118BF">
        <w:rPr>
          <w:rFonts w:hint="eastAsia"/>
        </w:rPr>
        <w:t>核有違失，爰依監察法第24條規定提案糾正，移送行政院轉飭所屬確實檢討改善見復</w:t>
      </w:r>
      <w:r w:rsidR="00286B1B" w:rsidRPr="001118BF">
        <w:rPr>
          <w:rFonts w:hint="eastAsia"/>
        </w:rPr>
        <w:t>。</w:t>
      </w:r>
    </w:p>
    <w:p w:rsidR="005F15E8" w:rsidRPr="001118BF" w:rsidRDefault="005F15E8" w:rsidP="00557432">
      <w:pPr>
        <w:pStyle w:val="af1"/>
        <w:ind w:left="2381" w:hangingChars="700" w:hanging="2381"/>
        <w:rPr>
          <w:bCs/>
        </w:rPr>
      </w:pPr>
      <w:bookmarkStart w:id="53" w:name="_Toc524895649"/>
      <w:bookmarkStart w:id="54" w:name="_Toc524896195"/>
      <w:bookmarkStart w:id="55" w:name="_Toc524896225"/>
      <w:bookmarkEnd w:id="52"/>
      <w:bookmarkEnd w:id="53"/>
      <w:bookmarkEnd w:id="54"/>
      <w:bookmarkEnd w:id="55"/>
    </w:p>
    <w:sectPr w:rsidR="005F15E8" w:rsidRPr="001118BF" w:rsidSect="00557432">
      <w:footerReference w:type="default" r:id="rId8"/>
      <w:pgSz w:w="16840" w:h="11907" w:orient="landscape" w:code="9"/>
      <w:pgMar w:top="1418" w:right="1701"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9A" w:rsidRDefault="00A40F9A">
      <w:r>
        <w:separator/>
      </w:r>
    </w:p>
  </w:endnote>
  <w:endnote w:type="continuationSeparator" w:id="0">
    <w:p w:rsidR="00A40F9A" w:rsidRDefault="00A4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77" w:rsidRDefault="00F66377">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E01D5">
      <w:rPr>
        <w:rStyle w:val="ac"/>
        <w:noProof/>
        <w:sz w:val="24"/>
      </w:rPr>
      <w:t>1</w:t>
    </w:r>
    <w:r>
      <w:rPr>
        <w:rStyle w:val="ac"/>
        <w:sz w:val="24"/>
      </w:rPr>
      <w:fldChar w:fldCharType="end"/>
    </w:r>
  </w:p>
  <w:p w:rsidR="00F66377" w:rsidRDefault="00F6637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9A" w:rsidRDefault="00A40F9A">
      <w:r>
        <w:separator/>
      </w:r>
    </w:p>
  </w:footnote>
  <w:footnote w:type="continuationSeparator" w:id="0">
    <w:p w:rsidR="00A40F9A" w:rsidRDefault="00A40F9A">
      <w:r>
        <w:continuationSeparator/>
      </w:r>
    </w:p>
  </w:footnote>
  <w:footnote w:id="1">
    <w:p w:rsidR="00F66377" w:rsidRPr="00A54592" w:rsidRDefault="00F66377" w:rsidP="00F66377">
      <w:pPr>
        <w:pStyle w:val="afc"/>
      </w:pPr>
      <w:r>
        <w:rPr>
          <w:rStyle w:val="afe"/>
        </w:rPr>
        <w:footnoteRef/>
      </w:r>
      <w:r>
        <w:t xml:space="preserve"> </w:t>
      </w:r>
      <w:r>
        <w:rPr>
          <w:rFonts w:hint="eastAsia"/>
        </w:rPr>
        <w:t>108年8月28日衛福部承辦人電稱：直轄市、縣（市）政府轄屬社會局（處）辦理身心障礙者需求評估，需求評估資料放在衛福部社家署之全國身心障礙福利資訊整合平台。</w:t>
      </w:r>
    </w:p>
  </w:footnote>
  <w:footnote w:id="2">
    <w:p w:rsidR="00F66377" w:rsidRPr="005327AD" w:rsidRDefault="00F66377" w:rsidP="00F66377">
      <w:pPr>
        <w:pStyle w:val="afc"/>
      </w:pPr>
      <w:r>
        <w:rPr>
          <w:rStyle w:val="afe"/>
        </w:rPr>
        <w:footnoteRef/>
      </w:r>
      <w:r>
        <w:t xml:space="preserve"> </w:t>
      </w:r>
      <w:r>
        <w:rPr>
          <w:rFonts w:hint="eastAsia"/>
        </w:rPr>
        <w:t>108年7月30日衛福部衛授家字第1080701121號函。</w:t>
      </w:r>
    </w:p>
  </w:footnote>
  <w:footnote w:id="3">
    <w:p w:rsidR="00F66377" w:rsidRDefault="00F66377" w:rsidP="00F66377">
      <w:pPr>
        <w:pStyle w:val="afc"/>
      </w:pPr>
      <w:r>
        <w:rPr>
          <w:rStyle w:val="afe"/>
        </w:rPr>
        <w:footnoteRef/>
      </w:r>
      <w:r>
        <w:rPr>
          <w:rFonts w:hint="eastAsia"/>
        </w:rPr>
        <w:t>衛福部108年6月4日衛授家字第1080700823號函。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852786"/>
    <w:multiLevelType w:val="hybridMultilevel"/>
    <w:tmpl w:val="EAB6FDC8"/>
    <w:lvl w:ilvl="0" w:tplc="0409000B">
      <w:start w:val="1"/>
      <w:numFmt w:val="bullet"/>
      <w:lvlText w:val=""/>
      <w:lvlJc w:val="left"/>
      <w:pPr>
        <w:ind w:left="3712" w:hanging="480"/>
      </w:pPr>
      <w:rPr>
        <w:rFonts w:ascii="Wingdings" w:hAnsi="Wingdings" w:hint="default"/>
      </w:rPr>
    </w:lvl>
    <w:lvl w:ilvl="1" w:tplc="04090003" w:tentative="1">
      <w:start w:val="1"/>
      <w:numFmt w:val="bullet"/>
      <w:lvlText w:val=""/>
      <w:lvlJc w:val="left"/>
      <w:pPr>
        <w:ind w:left="4192" w:hanging="480"/>
      </w:pPr>
      <w:rPr>
        <w:rFonts w:ascii="Wingdings" w:hAnsi="Wingdings" w:hint="default"/>
      </w:rPr>
    </w:lvl>
    <w:lvl w:ilvl="2" w:tplc="04090005" w:tentative="1">
      <w:start w:val="1"/>
      <w:numFmt w:val="bullet"/>
      <w:lvlText w:val=""/>
      <w:lvlJc w:val="left"/>
      <w:pPr>
        <w:ind w:left="4672" w:hanging="480"/>
      </w:pPr>
      <w:rPr>
        <w:rFonts w:ascii="Wingdings" w:hAnsi="Wingdings" w:hint="default"/>
      </w:rPr>
    </w:lvl>
    <w:lvl w:ilvl="3" w:tplc="04090001" w:tentative="1">
      <w:start w:val="1"/>
      <w:numFmt w:val="bullet"/>
      <w:lvlText w:val=""/>
      <w:lvlJc w:val="left"/>
      <w:pPr>
        <w:ind w:left="5152" w:hanging="480"/>
      </w:pPr>
      <w:rPr>
        <w:rFonts w:ascii="Wingdings" w:hAnsi="Wingdings" w:hint="default"/>
      </w:rPr>
    </w:lvl>
    <w:lvl w:ilvl="4" w:tplc="04090003" w:tentative="1">
      <w:start w:val="1"/>
      <w:numFmt w:val="bullet"/>
      <w:lvlText w:val=""/>
      <w:lvlJc w:val="left"/>
      <w:pPr>
        <w:ind w:left="5632" w:hanging="480"/>
      </w:pPr>
      <w:rPr>
        <w:rFonts w:ascii="Wingdings" w:hAnsi="Wingdings" w:hint="default"/>
      </w:rPr>
    </w:lvl>
    <w:lvl w:ilvl="5" w:tplc="04090005" w:tentative="1">
      <w:start w:val="1"/>
      <w:numFmt w:val="bullet"/>
      <w:lvlText w:val=""/>
      <w:lvlJc w:val="left"/>
      <w:pPr>
        <w:ind w:left="6112" w:hanging="480"/>
      </w:pPr>
      <w:rPr>
        <w:rFonts w:ascii="Wingdings" w:hAnsi="Wingdings" w:hint="default"/>
      </w:rPr>
    </w:lvl>
    <w:lvl w:ilvl="6" w:tplc="04090001" w:tentative="1">
      <w:start w:val="1"/>
      <w:numFmt w:val="bullet"/>
      <w:lvlText w:val=""/>
      <w:lvlJc w:val="left"/>
      <w:pPr>
        <w:ind w:left="6592" w:hanging="480"/>
      </w:pPr>
      <w:rPr>
        <w:rFonts w:ascii="Wingdings" w:hAnsi="Wingdings" w:hint="default"/>
      </w:rPr>
    </w:lvl>
    <w:lvl w:ilvl="7" w:tplc="04090003" w:tentative="1">
      <w:start w:val="1"/>
      <w:numFmt w:val="bullet"/>
      <w:lvlText w:val=""/>
      <w:lvlJc w:val="left"/>
      <w:pPr>
        <w:ind w:left="7072" w:hanging="480"/>
      </w:pPr>
      <w:rPr>
        <w:rFonts w:ascii="Wingdings" w:hAnsi="Wingdings" w:hint="default"/>
      </w:rPr>
    </w:lvl>
    <w:lvl w:ilvl="8" w:tplc="04090005" w:tentative="1">
      <w:start w:val="1"/>
      <w:numFmt w:val="bullet"/>
      <w:lvlText w:val=""/>
      <w:lvlJc w:val="left"/>
      <w:pPr>
        <w:ind w:left="7552"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59B6"/>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6D99"/>
    <w:rsid w:val="000B0B4A"/>
    <w:rsid w:val="000B279A"/>
    <w:rsid w:val="000B61D2"/>
    <w:rsid w:val="000B70A7"/>
    <w:rsid w:val="000C495F"/>
    <w:rsid w:val="000D0B99"/>
    <w:rsid w:val="000E6431"/>
    <w:rsid w:val="000F0585"/>
    <w:rsid w:val="000F0D35"/>
    <w:rsid w:val="000F21A5"/>
    <w:rsid w:val="00102B9F"/>
    <w:rsid w:val="001118BF"/>
    <w:rsid w:val="00112637"/>
    <w:rsid w:val="0012001E"/>
    <w:rsid w:val="00126A55"/>
    <w:rsid w:val="00133F08"/>
    <w:rsid w:val="001345E6"/>
    <w:rsid w:val="001378B0"/>
    <w:rsid w:val="00142E00"/>
    <w:rsid w:val="00152793"/>
    <w:rsid w:val="001545A9"/>
    <w:rsid w:val="001637C7"/>
    <w:rsid w:val="0016480E"/>
    <w:rsid w:val="00174297"/>
    <w:rsid w:val="001762EA"/>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2B4"/>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C7A18"/>
    <w:rsid w:val="003D05FB"/>
    <w:rsid w:val="003D1B16"/>
    <w:rsid w:val="003D45BF"/>
    <w:rsid w:val="003D508A"/>
    <w:rsid w:val="003D537F"/>
    <w:rsid w:val="003D7B75"/>
    <w:rsid w:val="003E0208"/>
    <w:rsid w:val="003E4B57"/>
    <w:rsid w:val="003F27E1"/>
    <w:rsid w:val="003F437A"/>
    <w:rsid w:val="003F5C2B"/>
    <w:rsid w:val="004023E9"/>
    <w:rsid w:val="004116AF"/>
    <w:rsid w:val="00413F83"/>
    <w:rsid w:val="0041490C"/>
    <w:rsid w:val="00416191"/>
    <w:rsid w:val="00416721"/>
    <w:rsid w:val="00421EF0"/>
    <w:rsid w:val="004224FA"/>
    <w:rsid w:val="00423D07"/>
    <w:rsid w:val="004255DB"/>
    <w:rsid w:val="0044346F"/>
    <w:rsid w:val="00447541"/>
    <w:rsid w:val="0046520A"/>
    <w:rsid w:val="004672AB"/>
    <w:rsid w:val="004714FE"/>
    <w:rsid w:val="00473592"/>
    <w:rsid w:val="00473A3A"/>
    <w:rsid w:val="00475B28"/>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7432"/>
    <w:rsid w:val="00563692"/>
    <w:rsid w:val="00565BDD"/>
    <w:rsid w:val="00571349"/>
    <w:rsid w:val="005715D4"/>
    <w:rsid w:val="005908B8"/>
    <w:rsid w:val="0059512E"/>
    <w:rsid w:val="005A6DD2"/>
    <w:rsid w:val="005C385D"/>
    <w:rsid w:val="005D3B20"/>
    <w:rsid w:val="005E01D5"/>
    <w:rsid w:val="005E5C68"/>
    <w:rsid w:val="005E65C0"/>
    <w:rsid w:val="005F0390"/>
    <w:rsid w:val="005F15E8"/>
    <w:rsid w:val="005F42BA"/>
    <w:rsid w:val="005F609F"/>
    <w:rsid w:val="00612023"/>
    <w:rsid w:val="00614190"/>
    <w:rsid w:val="00622A99"/>
    <w:rsid w:val="00622E67"/>
    <w:rsid w:val="00626EDC"/>
    <w:rsid w:val="00642986"/>
    <w:rsid w:val="006470EC"/>
    <w:rsid w:val="0065598E"/>
    <w:rsid w:val="00655AF2"/>
    <w:rsid w:val="006568BE"/>
    <w:rsid w:val="0066025D"/>
    <w:rsid w:val="006773EC"/>
    <w:rsid w:val="00680504"/>
    <w:rsid w:val="00681CD9"/>
    <w:rsid w:val="00683E30"/>
    <w:rsid w:val="00687024"/>
    <w:rsid w:val="006907BC"/>
    <w:rsid w:val="00696415"/>
    <w:rsid w:val="006B1E70"/>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706A"/>
    <w:rsid w:val="007C1BA2"/>
    <w:rsid w:val="007D20E9"/>
    <w:rsid w:val="007D7881"/>
    <w:rsid w:val="007D7E3A"/>
    <w:rsid w:val="007E0E10"/>
    <w:rsid w:val="007E4768"/>
    <w:rsid w:val="007E5BDD"/>
    <w:rsid w:val="007E777B"/>
    <w:rsid w:val="007F2070"/>
    <w:rsid w:val="007F2E90"/>
    <w:rsid w:val="008053F5"/>
    <w:rsid w:val="00810198"/>
    <w:rsid w:val="00810FFD"/>
    <w:rsid w:val="00815DA8"/>
    <w:rsid w:val="0082194D"/>
    <w:rsid w:val="00826EF5"/>
    <w:rsid w:val="00831693"/>
    <w:rsid w:val="00840104"/>
    <w:rsid w:val="00841FC5"/>
    <w:rsid w:val="008450E9"/>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205E"/>
    <w:rsid w:val="008F46E7"/>
    <w:rsid w:val="008F6F0B"/>
    <w:rsid w:val="00907BA7"/>
    <w:rsid w:val="0091064E"/>
    <w:rsid w:val="00911FC5"/>
    <w:rsid w:val="00931A10"/>
    <w:rsid w:val="00937017"/>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7D99"/>
    <w:rsid w:val="00A24C95"/>
    <w:rsid w:val="00A26094"/>
    <w:rsid w:val="00A301BF"/>
    <w:rsid w:val="00A302B2"/>
    <w:rsid w:val="00A331B4"/>
    <w:rsid w:val="00A3484E"/>
    <w:rsid w:val="00A35F31"/>
    <w:rsid w:val="00A36ADA"/>
    <w:rsid w:val="00A40F9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423C3"/>
    <w:rsid w:val="00B443E4"/>
    <w:rsid w:val="00B563EA"/>
    <w:rsid w:val="00B60E51"/>
    <w:rsid w:val="00B63A54"/>
    <w:rsid w:val="00B705F0"/>
    <w:rsid w:val="00B77D18"/>
    <w:rsid w:val="00B8313A"/>
    <w:rsid w:val="00B83C6B"/>
    <w:rsid w:val="00B93503"/>
    <w:rsid w:val="00BA31E8"/>
    <w:rsid w:val="00BA55E0"/>
    <w:rsid w:val="00BA6BD4"/>
    <w:rsid w:val="00BB3752"/>
    <w:rsid w:val="00BB6688"/>
    <w:rsid w:val="00BC26D4"/>
    <w:rsid w:val="00BC64F2"/>
    <w:rsid w:val="00BD7D5D"/>
    <w:rsid w:val="00BE6D82"/>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4DFC"/>
    <w:rsid w:val="00CC6297"/>
    <w:rsid w:val="00CC7690"/>
    <w:rsid w:val="00CD1986"/>
    <w:rsid w:val="00CE4D5C"/>
    <w:rsid w:val="00CF05DA"/>
    <w:rsid w:val="00CF58EB"/>
    <w:rsid w:val="00D0106E"/>
    <w:rsid w:val="00D06383"/>
    <w:rsid w:val="00D10C9C"/>
    <w:rsid w:val="00D20E85"/>
    <w:rsid w:val="00D24615"/>
    <w:rsid w:val="00D27557"/>
    <w:rsid w:val="00D37842"/>
    <w:rsid w:val="00D42DC2"/>
    <w:rsid w:val="00D526EA"/>
    <w:rsid w:val="00D537E1"/>
    <w:rsid w:val="00D55BB2"/>
    <w:rsid w:val="00D6091A"/>
    <w:rsid w:val="00D6695F"/>
    <w:rsid w:val="00D75644"/>
    <w:rsid w:val="00D81656"/>
    <w:rsid w:val="00D83D87"/>
    <w:rsid w:val="00D86A30"/>
    <w:rsid w:val="00D97CB4"/>
    <w:rsid w:val="00D97DD4"/>
    <w:rsid w:val="00DA5A8A"/>
    <w:rsid w:val="00DA7D1B"/>
    <w:rsid w:val="00DB26CD"/>
    <w:rsid w:val="00DB3135"/>
    <w:rsid w:val="00DB441C"/>
    <w:rsid w:val="00DB44AF"/>
    <w:rsid w:val="00DC1F58"/>
    <w:rsid w:val="00DC339B"/>
    <w:rsid w:val="00DC5D40"/>
    <w:rsid w:val="00DC70EF"/>
    <w:rsid w:val="00DD30E9"/>
    <w:rsid w:val="00DD3A79"/>
    <w:rsid w:val="00DD4F47"/>
    <w:rsid w:val="00DD7FBB"/>
    <w:rsid w:val="00DE0B9F"/>
    <w:rsid w:val="00DE4238"/>
    <w:rsid w:val="00DE42B9"/>
    <w:rsid w:val="00DE657F"/>
    <w:rsid w:val="00DF1218"/>
    <w:rsid w:val="00DF2DA0"/>
    <w:rsid w:val="00DF6462"/>
    <w:rsid w:val="00E02FA0"/>
    <w:rsid w:val="00E036DC"/>
    <w:rsid w:val="00E10454"/>
    <w:rsid w:val="00E112E5"/>
    <w:rsid w:val="00E21CC7"/>
    <w:rsid w:val="00E24D9E"/>
    <w:rsid w:val="00E25562"/>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3067"/>
    <w:rsid w:val="00EB553A"/>
    <w:rsid w:val="00ED03AB"/>
    <w:rsid w:val="00ED0CAC"/>
    <w:rsid w:val="00ED1CD4"/>
    <w:rsid w:val="00ED1D2B"/>
    <w:rsid w:val="00ED64B5"/>
    <w:rsid w:val="00EE7CCA"/>
    <w:rsid w:val="00EF2404"/>
    <w:rsid w:val="00F16A14"/>
    <w:rsid w:val="00F231DC"/>
    <w:rsid w:val="00F362D7"/>
    <w:rsid w:val="00F37D7B"/>
    <w:rsid w:val="00F5314C"/>
    <w:rsid w:val="00F635DD"/>
    <w:rsid w:val="00F6627B"/>
    <w:rsid w:val="00F66377"/>
    <w:rsid w:val="00F734F2"/>
    <w:rsid w:val="00F75052"/>
    <w:rsid w:val="00F804D3"/>
    <w:rsid w:val="00F81CD2"/>
    <w:rsid w:val="00F82641"/>
    <w:rsid w:val="00F90F18"/>
    <w:rsid w:val="00F937E4"/>
    <w:rsid w:val="00F95EE7"/>
    <w:rsid w:val="00FA2D74"/>
    <w:rsid w:val="00FA39E6"/>
    <w:rsid w:val="00FA7BC9"/>
    <w:rsid w:val="00FB378E"/>
    <w:rsid w:val="00FB37F1"/>
    <w:rsid w:val="00FB47C0"/>
    <w:rsid w:val="00FB501B"/>
    <w:rsid w:val="00FB5C3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602FB7-49F8-4213-9037-5E463F0C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25"/>
      </w:numPr>
      <w:outlineLvl w:val="0"/>
    </w:pPr>
    <w:rPr>
      <w:rFonts w:hAnsi="Arial"/>
      <w:bCs/>
      <w:kern w:val="32"/>
      <w:szCs w:val="52"/>
    </w:rPr>
  </w:style>
  <w:style w:type="paragraph" w:styleId="2">
    <w:name w:val="heading 2"/>
    <w:aliases w:val="標題110/111,標題110/111 字元"/>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nhideWhenUsed/>
    <w:rsid w:val="00B423C3"/>
    <w:pPr>
      <w:snapToGrid w:val="0"/>
      <w:jc w:val="left"/>
    </w:pPr>
    <w:rPr>
      <w:sz w:val="20"/>
    </w:rPr>
  </w:style>
  <w:style w:type="character" w:customStyle="1" w:styleId="afd">
    <w:name w:val="註腳文字 字元"/>
    <w:basedOn w:val="a7"/>
    <w:link w:val="afc"/>
    <w:rsid w:val="00B423C3"/>
    <w:rPr>
      <w:rFonts w:ascii="標楷體" w:eastAsia="標楷體"/>
      <w:kern w:val="2"/>
    </w:rPr>
  </w:style>
  <w:style w:type="character" w:styleId="afe">
    <w:name w:val="footnote reference"/>
    <w:basedOn w:val="a7"/>
    <w:unhideWhenUsed/>
    <w:rsid w:val="00B423C3"/>
    <w:rPr>
      <w:vertAlign w:val="superscript"/>
    </w:rPr>
  </w:style>
  <w:style w:type="character" w:customStyle="1" w:styleId="50">
    <w:name w:val="標題 5 字元"/>
    <w:basedOn w:val="a7"/>
    <w:link w:val="5"/>
    <w:rsid w:val="007F2E90"/>
    <w:rPr>
      <w:rFonts w:ascii="標楷體" w:eastAsia="標楷體" w:hAnsi="Arial"/>
      <w:bCs/>
      <w:kern w:val="32"/>
      <w:sz w:val="32"/>
      <w:szCs w:val="36"/>
    </w:rPr>
  </w:style>
  <w:style w:type="character" w:customStyle="1" w:styleId="40">
    <w:name w:val="標題 4 字元"/>
    <w:basedOn w:val="a7"/>
    <w:link w:val="4"/>
    <w:rsid w:val="005F609F"/>
    <w:rPr>
      <w:rFonts w:ascii="標楷體" w:eastAsia="標楷體" w:hAnsi="Arial"/>
      <w:kern w:val="32"/>
      <w:sz w:val="32"/>
      <w:szCs w:val="36"/>
    </w:rPr>
  </w:style>
  <w:style w:type="character" w:customStyle="1" w:styleId="10">
    <w:name w:val="標題 1 字元"/>
    <w:aliases w:val="壹 字元"/>
    <w:basedOn w:val="a7"/>
    <w:link w:val="1"/>
    <w:rsid w:val="00EF2404"/>
    <w:rPr>
      <w:rFonts w:ascii="標楷體" w:eastAsia="標楷體" w:hAnsi="Arial"/>
      <w:bCs/>
      <w:kern w:val="32"/>
      <w:sz w:val="32"/>
      <w:szCs w:val="52"/>
    </w:rPr>
  </w:style>
  <w:style w:type="character" w:customStyle="1" w:styleId="20">
    <w:name w:val="標題 2 字元"/>
    <w:aliases w:val="標題110/111 字元1,標題110/111 字元 字元"/>
    <w:basedOn w:val="a7"/>
    <w:link w:val="2"/>
    <w:rsid w:val="00EF2404"/>
    <w:rPr>
      <w:rFonts w:ascii="標楷體" w:eastAsia="標楷體" w:hAnsi="Arial"/>
      <w:b/>
      <w:bCs/>
      <w:kern w:val="32"/>
      <w:sz w:val="32"/>
      <w:szCs w:val="48"/>
    </w:rPr>
  </w:style>
  <w:style w:type="character" w:customStyle="1" w:styleId="30">
    <w:name w:val="標題 3 字元"/>
    <w:aliases w:val="(一) 字元"/>
    <w:basedOn w:val="a7"/>
    <w:link w:val="3"/>
    <w:rsid w:val="00EF2404"/>
    <w:rPr>
      <w:rFonts w:ascii="標楷體" w:eastAsia="標楷體" w:hAnsi="Arial"/>
      <w:bCs/>
      <w:kern w:val="32"/>
      <w:sz w:val="32"/>
      <w:szCs w:val="36"/>
    </w:rPr>
  </w:style>
  <w:style w:type="character" w:customStyle="1" w:styleId="60">
    <w:name w:val="標題 6 字元"/>
    <w:basedOn w:val="a7"/>
    <w:link w:val="6"/>
    <w:rsid w:val="00EF2404"/>
    <w:rPr>
      <w:rFonts w:ascii="標楷體" w:eastAsia="標楷體" w:hAnsi="Arial"/>
      <w:kern w:val="32"/>
      <w:sz w:val="32"/>
      <w:szCs w:val="36"/>
    </w:rPr>
  </w:style>
  <w:style w:type="character" w:customStyle="1" w:styleId="70">
    <w:name w:val="標題 7 字元"/>
    <w:basedOn w:val="a7"/>
    <w:link w:val="7"/>
    <w:rsid w:val="00EF2404"/>
    <w:rPr>
      <w:rFonts w:ascii="標楷體" w:eastAsia="標楷體" w:hAnsi="Arial"/>
      <w:bCs/>
      <w:kern w:val="32"/>
      <w:sz w:val="32"/>
      <w:szCs w:val="36"/>
    </w:rPr>
  </w:style>
  <w:style w:type="character" w:customStyle="1" w:styleId="80">
    <w:name w:val="標題 8 字元"/>
    <w:basedOn w:val="a7"/>
    <w:link w:val="8"/>
    <w:rsid w:val="00EF2404"/>
    <w:rPr>
      <w:rFonts w:ascii="標楷體" w:eastAsia="標楷體" w:hAnsi="Arial"/>
      <w:kern w:val="32"/>
      <w:sz w:val="32"/>
      <w:szCs w:val="36"/>
    </w:rPr>
  </w:style>
  <w:style w:type="character" w:customStyle="1" w:styleId="ae">
    <w:name w:val="頁首 字元"/>
    <w:basedOn w:val="a7"/>
    <w:link w:val="ad"/>
    <w:uiPriority w:val="99"/>
    <w:rsid w:val="00EF2404"/>
    <w:rPr>
      <w:rFonts w:ascii="標楷體" w:eastAsia="標楷體"/>
      <w:kern w:val="2"/>
    </w:rPr>
  </w:style>
  <w:style w:type="character" w:customStyle="1" w:styleId="af5">
    <w:name w:val="頁尾 字元"/>
    <w:basedOn w:val="a7"/>
    <w:link w:val="af4"/>
    <w:uiPriority w:val="99"/>
    <w:rsid w:val="00EF2404"/>
    <w:rPr>
      <w:rFonts w:ascii="標楷體" w:eastAsia="標楷體"/>
      <w:kern w:val="2"/>
    </w:rPr>
  </w:style>
  <w:style w:type="paragraph" w:styleId="Web">
    <w:name w:val="Normal (Web)"/>
    <w:basedOn w:val="a6"/>
    <w:uiPriority w:val="99"/>
    <w:semiHidden/>
    <w:unhideWhenUsed/>
    <w:rsid w:val="00EF240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semiHidden/>
    <w:unhideWhenUsed/>
    <w:rsid w:val="00EF2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EF2404"/>
    <w:rPr>
      <w:rFonts w:ascii="細明體" w:eastAsia="細明體" w:hAnsi="細明體" w:cs="細明體"/>
      <w:sz w:val="24"/>
      <w:szCs w:val="24"/>
    </w:rPr>
  </w:style>
  <w:style w:type="character" w:customStyle="1" w:styleId="highlight1">
    <w:name w:val="highlight1"/>
    <w:basedOn w:val="a7"/>
    <w:rsid w:val="00EF2404"/>
    <w:rPr>
      <w:color w:val="FF0000"/>
    </w:rPr>
  </w:style>
  <w:style w:type="character" w:styleId="aff">
    <w:name w:val="Emphasis"/>
    <w:basedOn w:val="a7"/>
    <w:uiPriority w:val="20"/>
    <w:qFormat/>
    <w:rsid w:val="00EF2404"/>
    <w:rPr>
      <w:b w:val="0"/>
      <w:bCs w:val="0"/>
      <w:i w:val="0"/>
      <w:iCs w:val="0"/>
      <w:color w:val="DD4B39"/>
    </w:rPr>
  </w:style>
  <w:style w:type="character" w:customStyle="1" w:styleId="st1">
    <w:name w:val="st1"/>
    <w:basedOn w:val="a7"/>
    <w:rsid w:val="00EF2404"/>
  </w:style>
  <w:style w:type="character" w:customStyle="1" w:styleId="aff0">
    <w:name w:val="註解文字 字元"/>
    <w:basedOn w:val="a7"/>
    <w:link w:val="aff1"/>
    <w:uiPriority w:val="99"/>
    <w:semiHidden/>
    <w:rsid w:val="00EF2404"/>
    <w:rPr>
      <w:rFonts w:asciiTheme="minorHAnsi" w:eastAsiaTheme="minorEastAsia" w:hAnsiTheme="minorHAnsi" w:cstheme="minorBidi"/>
      <w:kern w:val="2"/>
      <w:sz w:val="24"/>
      <w:szCs w:val="22"/>
    </w:rPr>
  </w:style>
  <w:style w:type="paragraph" w:styleId="aff1">
    <w:name w:val="annotation text"/>
    <w:basedOn w:val="a6"/>
    <w:link w:val="aff0"/>
    <w:uiPriority w:val="99"/>
    <w:semiHidden/>
    <w:unhideWhenUsed/>
    <w:rsid w:val="00EF2404"/>
    <w:pPr>
      <w:overflowPunct/>
      <w:autoSpaceDE/>
      <w:autoSpaceDN/>
      <w:jc w:val="left"/>
    </w:pPr>
    <w:rPr>
      <w:rFonts w:asciiTheme="minorHAnsi" w:eastAsiaTheme="minorEastAsia" w:hAnsiTheme="minorHAnsi" w:cstheme="minorBidi"/>
      <w:sz w:val="24"/>
      <w:szCs w:val="22"/>
    </w:rPr>
  </w:style>
  <w:style w:type="character" w:customStyle="1" w:styleId="13">
    <w:name w:val="註解文字 字元1"/>
    <w:basedOn w:val="a7"/>
    <w:uiPriority w:val="99"/>
    <w:semiHidden/>
    <w:rsid w:val="00EF2404"/>
    <w:rPr>
      <w:rFonts w:ascii="標楷體" w:eastAsia="標楷體"/>
      <w:kern w:val="2"/>
      <w:sz w:val="32"/>
    </w:rPr>
  </w:style>
  <w:style w:type="character" w:customStyle="1" w:styleId="aff2">
    <w:name w:val="註解主旨 字元"/>
    <w:basedOn w:val="aff0"/>
    <w:link w:val="aff3"/>
    <w:uiPriority w:val="99"/>
    <w:semiHidden/>
    <w:rsid w:val="00EF2404"/>
    <w:rPr>
      <w:rFonts w:asciiTheme="minorHAnsi" w:eastAsiaTheme="minorEastAsia" w:hAnsiTheme="minorHAnsi" w:cstheme="minorBidi"/>
      <w:b/>
      <w:bCs/>
      <w:kern w:val="2"/>
      <w:sz w:val="24"/>
      <w:szCs w:val="22"/>
    </w:rPr>
  </w:style>
  <w:style w:type="paragraph" w:styleId="aff3">
    <w:name w:val="annotation subject"/>
    <w:basedOn w:val="aff1"/>
    <w:next w:val="aff1"/>
    <w:link w:val="aff2"/>
    <w:uiPriority w:val="99"/>
    <w:semiHidden/>
    <w:unhideWhenUsed/>
    <w:rsid w:val="00EF2404"/>
    <w:rPr>
      <w:b/>
      <w:bCs/>
    </w:rPr>
  </w:style>
  <w:style w:type="character" w:customStyle="1" w:styleId="15">
    <w:name w:val="註解主旨 字元1"/>
    <w:basedOn w:val="13"/>
    <w:uiPriority w:val="99"/>
    <w:semiHidden/>
    <w:rsid w:val="00EF2404"/>
    <w:rPr>
      <w:rFonts w:ascii="標楷體" w:eastAsia="標楷體"/>
      <w:b/>
      <w:bCs/>
      <w:kern w:val="2"/>
      <w:sz w:val="32"/>
    </w:rPr>
  </w:style>
  <w:style w:type="character" w:customStyle="1" w:styleId="SimSun">
    <w:name w:val="內文文字 + SimSun"/>
    <w:aliases w:val="11 pt"/>
    <w:basedOn w:val="a7"/>
    <w:rsid w:val="00FB5C3B"/>
    <w:rPr>
      <w:rFonts w:ascii="SimSun" w:eastAsia="SimSun" w:hAnsi="SimSun" w:cs="SimSun"/>
      <w:b w:val="0"/>
      <w:bCs w:val="0"/>
      <w:i w:val="0"/>
      <w:iCs w:val="0"/>
      <w:smallCaps w:val="0"/>
      <w:strike w:val="0"/>
      <w:color w:val="000000"/>
      <w:spacing w:val="0"/>
      <w:w w:val="100"/>
      <w:position w:val="0"/>
      <w:sz w:val="22"/>
      <w:szCs w:val="22"/>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8299-99CC-41DF-816B-9C13BF12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605</Words>
  <Characters>1888</Characters>
  <Application>Microsoft Office Word</Application>
  <DocSecurity>0</DocSecurity>
  <Lines>472</Lines>
  <Paragraphs>356</Paragraphs>
  <ScaleCrop>false</ScaleCrop>
  <Company>cy</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admin</dc:creator>
  <cp:lastModifiedBy>吳宏杰</cp:lastModifiedBy>
  <cp:revision>2</cp:revision>
  <cp:lastPrinted>2019-11-14T03:42:00Z</cp:lastPrinted>
  <dcterms:created xsi:type="dcterms:W3CDTF">2019-11-22T09:05:00Z</dcterms:created>
  <dcterms:modified xsi:type="dcterms:W3CDTF">2019-11-22T09:05:00Z</dcterms:modified>
</cp:coreProperties>
</file>